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7"/>
        <w:gridCol w:w="2917"/>
      </w:tblGrid>
      <w:tr w:rsidR="00B35BB0" w:rsidTr="00727274">
        <w:trPr>
          <w:tblCellSpacing w:w="15" w:type="dxa"/>
        </w:trPr>
        <w:tc>
          <w:tcPr>
            <w:tcW w:w="0" w:type="auto"/>
            <w:shd w:val="clear" w:color="auto" w:fill="990000"/>
            <w:vAlign w:val="center"/>
            <w:hideMark/>
          </w:tcPr>
          <w:p w:rsidR="00B35BB0" w:rsidRDefault="00B35BB0" w:rsidP="00B35BB0">
            <w:pPr>
              <w:rPr>
                <w:color w:val="000000"/>
                <w:sz w:val="24"/>
                <w:szCs w:val="24"/>
              </w:rPr>
            </w:pPr>
            <w:r>
              <w:t xml:space="preserve">Saxagliptine/metformine </w:t>
            </w:r>
          </w:p>
        </w:tc>
        <w:tc>
          <w:tcPr>
            <w:tcW w:w="0" w:type="auto"/>
            <w:vAlign w:val="center"/>
            <w:hideMark/>
          </w:tcPr>
          <w:p w:rsidR="00B35BB0" w:rsidRDefault="00B35BB0" w:rsidP="00727274">
            <w:pPr>
              <w:rPr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990000"/>
              </w:rPr>
              <w:t>EFFETS INDÉSIRABLES</w:t>
            </w:r>
            <w:r>
              <w:t xml:space="preserve"> </w:t>
            </w:r>
          </w:p>
        </w:tc>
      </w:tr>
    </w:tbl>
    <w:p w:rsidR="00B35BB0" w:rsidRDefault="00B35BB0" w:rsidP="00B35BB0">
      <w:r>
        <w:t xml:space="preserve">Aucun essai thérapeutique n'a été mené avec les comprimés de </w:t>
      </w:r>
      <w:proofErr w:type="spellStart"/>
      <w:r>
        <w:t>Saxagliptine</w:t>
      </w:r>
      <w:proofErr w:type="spellEnd"/>
      <w:r>
        <w:t>/</w:t>
      </w:r>
      <w:proofErr w:type="spellStart"/>
      <w:proofErr w:type="gramStart"/>
      <w:r>
        <w:t>metformine</w:t>
      </w:r>
      <w:proofErr w:type="spellEnd"/>
      <w:r>
        <w:t xml:space="preserve"> ,</w:t>
      </w:r>
      <w:proofErr w:type="gramEnd"/>
      <w:r>
        <w:t xml:space="preserve"> mais la bioéquivalence de </w:t>
      </w:r>
      <w:proofErr w:type="spellStart"/>
      <w:r>
        <w:t>Saxagliptine</w:t>
      </w:r>
      <w:proofErr w:type="spellEnd"/>
      <w:r>
        <w:t>/</w:t>
      </w:r>
      <w:proofErr w:type="spellStart"/>
      <w:r>
        <w:t>metformine</w:t>
      </w:r>
      <w:proofErr w:type="spellEnd"/>
      <w:r>
        <w:t xml:space="preserve">  avec la </w:t>
      </w:r>
      <w:proofErr w:type="spellStart"/>
      <w:r>
        <w:t>saxagliptine</w:t>
      </w:r>
      <w:proofErr w:type="spellEnd"/>
      <w:r>
        <w:t xml:space="preserve"> et la </w:t>
      </w:r>
      <w:proofErr w:type="spellStart"/>
      <w:r>
        <w:t>metformine</w:t>
      </w:r>
      <w:proofErr w:type="spellEnd"/>
      <w:r>
        <w:t xml:space="preserve"> </w:t>
      </w:r>
      <w:proofErr w:type="spellStart"/>
      <w:r>
        <w:t>coadministrées</w:t>
      </w:r>
      <w:proofErr w:type="spellEnd"/>
      <w:r>
        <w:t xml:space="preserve"> a été démontrée (</w:t>
      </w:r>
      <w:proofErr w:type="spellStart"/>
      <w:r>
        <w:t>cf</w:t>
      </w:r>
      <w:proofErr w:type="spellEnd"/>
      <w:r>
        <w:t> Pharmacocinétique).</w:t>
      </w:r>
    </w:p>
    <w:p w:rsidR="00B35BB0" w:rsidRDefault="00B35BB0" w:rsidP="00B35BB0">
      <w:proofErr w:type="spellStart"/>
      <w:r>
        <w:rPr>
          <w:b/>
          <w:bCs/>
          <w:i/>
          <w:iCs/>
        </w:rPr>
        <w:t>Saxagliptine</w:t>
      </w:r>
      <w:proofErr w:type="spellEnd"/>
      <w:r>
        <w:rPr>
          <w:b/>
          <w:bCs/>
          <w:i/>
          <w:iCs/>
        </w:rPr>
        <w:t> :</w:t>
      </w:r>
      <w:r>
        <w:t xml:space="preserve"> </w:t>
      </w:r>
    </w:p>
    <w:p w:rsidR="00B35BB0" w:rsidRDefault="00B35BB0" w:rsidP="00B35BB0">
      <w:pPr>
        <w:ind w:left="720"/>
      </w:pPr>
      <w:r>
        <w:rPr>
          <w:i/>
          <w:iCs/>
        </w:rPr>
        <w:t>Résumé du profil de sécurité :</w:t>
      </w:r>
      <w:r>
        <w:t xml:space="preserve"> </w:t>
      </w:r>
    </w:p>
    <w:p w:rsidR="00B35BB0" w:rsidRDefault="00B35BB0" w:rsidP="00B35BB0">
      <w:pPr>
        <w:ind w:left="720"/>
      </w:pPr>
      <w:r>
        <w:t xml:space="preserve">Un total de 4148 patients atteints de diabète de type 2 incluant 3021 patients traités par la </w:t>
      </w:r>
      <w:proofErr w:type="spellStart"/>
      <w:r>
        <w:t>saxagliptine</w:t>
      </w:r>
      <w:proofErr w:type="spellEnd"/>
      <w:r>
        <w:t xml:space="preserve"> ont été randomisés dans six études cliniques d'efficacité et de sécurité d'emploi, contrôlées en double aveugle, visant à évaluer les effets de la </w:t>
      </w:r>
      <w:proofErr w:type="spellStart"/>
      <w:r>
        <w:t>saxagliptine</w:t>
      </w:r>
      <w:proofErr w:type="spellEnd"/>
      <w:r>
        <w:t xml:space="preserve"> sur le contrôle de la glycémie. </w:t>
      </w:r>
    </w:p>
    <w:p w:rsidR="00B35BB0" w:rsidRDefault="00B35BB0" w:rsidP="00B35BB0">
      <w:pPr>
        <w:ind w:left="720"/>
      </w:pPr>
      <w:r>
        <w:t xml:space="preserve">Dans une analyse </w:t>
      </w:r>
      <w:proofErr w:type="spellStart"/>
      <w:r>
        <w:t>poolée</w:t>
      </w:r>
      <w:proofErr w:type="spellEnd"/>
      <w:r>
        <w:t xml:space="preserve">, l'incidence globale d'effets indésirables chez les patients traités par la </w:t>
      </w:r>
      <w:proofErr w:type="spellStart"/>
      <w:r>
        <w:t>saxagliptine</w:t>
      </w:r>
      <w:proofErr w:type="spellEnd"/>
      <w:r>
        <w:t xml:space="preserve"> 5 mg a été similaire à celle observée chez les patients sous placebo. Les arrêts de traitement en raison d'effets indésirables ont été plus fréquents chez les patients recevant la </w:t>
      </w:r>
      <w:proofErr w:type="spellStart"/>
      <w:r>
        <w:t>saxagliptine</w:t>
      </w:r>
      <w:proofErr w:type="spellEnd"/>
      <w:r>
        <w:t xml:space="preserve"> 5 mg que chez les patients sous placebo (3,3 % comparé à 1,8 %). </w:t>
      </w:r>
    </w:p>
    <w:p w:rsidR="00B35BB0" w:rsidRDefault="00B35BB0" w:rsidP="00B35BB0">
      <w:pPr>
        <w:ind w:left="720"/>
      </w:pPr>
      <w:r>
        <w:rPr>
          <w:i/>
          <w:iCs/>
        </w:rPr>
        <w:t>Liste tabulée des effets indésirables :</w:t>
      </w:r>
      <w:r>
        <w:t xml:space="preserve"> </w:t>
      </w:r>
    </w:p>
    <w:p w:rsidR="00B35BB0" w:rsidRDefault="00B35BB0" w:rsidP="00B35BB0">
      <w:pPr>
        <w:ind w:left="720"/>
      </w:pPr>
      <w:r>
        <w:t xml:space="preserve">Les effets indésirables, rapportés chez &gt;= 5 % des patients traités par la </w:t>
      </w:r>
      <w:proofErr w:type="spellStart"/>
      <w:r>
        <w:t>saxagliptine</w:t>
      </w:r>
      <w:proofErr w:type="spellEnd"/>
      <w:r>
        <w:t xml:space="preserve"> 5 mg et plus fréquemment que chez les patients traités par placebo ou qui ont été rapportés chez &gt;= 2 % des patients traités par la </w:t>
      </w:r>
      <w:proofErr w:type="spellStart"/>
      <w:r>
        <w:t>saxagliptine</w:t>
      </w:r>
      <w:proofErr w:type="spellEnd"/>
      <w:r>
        <w:t xml:space="preserve"> 5 mg et chez &gt;= 1 % plus fréquemment comparés au placebo, sont présentés dans le tableau 1. </w:t>
      </w:r>
    </w:p>
    <w:p w:rsidR="00B35BB0" w:rsidRDefault="00B35BB0" w:rsidP="00B35BB0">
      <w:pPr>
        <w:ind w:left="720"/>
      </w:pPr>
      <w:r>
        <w:t xml:space="preserve">Les effets indésirables sont listés par classe de systèmes d'organes et par fréquence absolue. Les fréquences sont définies comme suit : très fréquent (&gt;= 1/10), fréquent (&gt;= 1/100, &lt; 1/10), peu fréquent (&gt;= 1/1000, &lt; 1/100), rare (&gt;= 1/10 000, &lt; 1/1000), très rare (&lt; 1/10 000), fréquence indéterminée (ne peut être estimée sur la base des données disponibles). </w:t>
      </w:r>
    </w:p>
    <w:tbl>
      <w:tblPr>
        <w:tblW w:w="4750" w:type="pct"/>
        <w:tblCellSpacing w:w="7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54"/>
        <w:gridCol w:w="4448"/>
      </w:tblGrid>
      <w:tr w:rsidR="00B35BB0" w:rsidTr="00727274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5BB0" w:rsidRDefault="00B35BB0" w:rsidP="00727274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Tableau 1 : Fréquence des effets indésirables par classe de systèmes d'organes </w:t>
            </w:r>
          </w:p>
        </w:tc>
      </w:tr>
      <w:tr w:rsidR="00B35BB0" w:rsidTr="007272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BB0" w:rsidRDefault="00B35BB0" w:rsidP="007272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</w:rPr>
              <w:t>Classe de systèmes d'organes</w:t>
            </w:r>
            <w:r>
              <w:br/>
              <w:t xml:space="preserve">Effet indésirable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BB0" w:rsidRDefault="00B35BB0" w:rsidP="00727274">
            <w:pPr>
              <w:jc w:val="center"/>
              <w:rPr>
                <w:color w:val="000000"/>
                <w:sz w:val="24"/>
                <w:szCs w:val="24"/>
              </w:rPr>
            </w:pPr>
            <w:r>
              <w:t>Fréquence des effets indésirables par traitement</w:t>
            </w:r>
            <w:r>
              <w:br/>
            </w:r>
            <w:proofErr w:type="spellStart"/>
            <w:r>
              <w:t>Saxagliptine</w:t>
            </w:r>
            <w:proofErr w:type="spellEnd"/>
            <w:r>
              <w:t xml:space="preserve"> avec </w:t>
            </w:r>
            <w:proofErr w:type="spellStart"/>
            <w:r>
              <w:t>metformine</w:t>
            </w:r>
            <w:proofErr w:type="spellEnd"/>
            <w:r>
              <w:rPr>
                <w:vertAlign w:val="superscript"/>
              </w:rPr>
              <w:t>(1)</w:t>
            </w:r>
            <w:r>
              <w:t xml:space="preserve"> </w:t>
            </w:r>
          </w:p>
        </w:tc>
      </w:tr>
      <w:tr w:rsidR="00B35BB0" w:rsidTr="00727274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BB0" w:rsidRDefault="00B35BB0" w:rsidP="00727274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</w:rPr>
              <w:t>Infections et infestations</w:t>
            </w:r>
            <w:r>
              <w:t xml:space="preserve"> </w:t>
            </w:r>
          </w:p>
        </w:tc>
      </w:tr>
      <w:tr w:rsidR="00B35BB0" w:rsidTr="007272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BB0" w:rsidRDefault="00B35BB0" w:rsidP="00727274">
            <w:pPr>
              <w:rPr>
                <w:color w:val="000000"/>
                <w:sz w:val="24"/>
                <w:szCs w:val="24"/>
              </w:rPr>
            </w:pPr>
            <w:r>
              <w:t>- Infections des voies respiratoires supérieures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5BB0" w:rsidRDefault="00B35BB0" w:rsidP="00727274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Fréquent </w:t>
            </w:r>
          </w:p>
        </w:tc>
      </w:tr>
      <w:tr w:rsidR="00B35BB0" w:rsidTr="007272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BB0" w:rsidRDefault="00B35BB0" w:rsidP="00727274">
            <w:pPr>
              <w:rPr>
                <w:color w:val="000000"/>
                <w:sz w:val="24"/>
                <w:szCs w:val="24"/>
              </w:rPr>
            </w:pPr>
            <w:r>
              <w:t>- Infections des voies urinaires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5BB0" w:rsidRDefault="00B35BB0" w:rsidP="00727274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Fréquent </w:t>
            </w:r>
          </w:p>
        </w:tc>
      </w:tr>
      <w:tr w:rsidR="00B35BB0" w:rsidTr="007272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BB0" w:rsidRDefault="00B35BB0" w:rsidP="00727274">
            <w:pPr>
              <w:rPr>
                <w:color w:val="000000"/>
                <w:sz w:val="24"/>
                <w:szCs w:val="24"/>
              </w:rPr>
            </w:pPr>
            <w:r>
              <w:t>- Gastroentérites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5BB0" w:rsidRDefault="00B35BB0" w:rsidP="00727274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Fréquent </w:t>
            </w:r>
          </w:p>
        </w:tc>
      </w:tr>
      <w:tr w:rsidR="00B35BB0" w:rsidTr="007272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BB0" w:rsidRDefault="00B35BB0" w:rsidP="00727274">
            <w:pPr>
              <w:rPr>
                <w:color w:val="000000"/>
                <w:sz w:val="24"/>
                <w:szCs w:val="24"/>
              </w:rPr>
            </w:pPr>
            <w:r>
              <w:lastRenderedPageBreak/>
              <w:t>- Sinusites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5BB0" w:rsidRDefault="00B35BB0" w:rsidP="00727274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Fréquent </w:t>
            </w:r>
          </w:p>
        </w:tc>
      </w:tr>
      <w:tr w:rsidR="00B35BB0" w:rsidTr="007272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BB0" w:rsidRDefault="00B35BB0" w:rsidP="00727274">
            <w:pPr>
              <w:rPr>
                <w:color w:val="000000"/>
                <w:sz w:val="24"/>
                <w:szCs w:val="24"/>
              </w:rPr>
            </w:pPr>
            <w:r>
              <w:t>- Rhinopharyngites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5BB0" w:rsidRDefault="00B35BB0" w:rsidP="00727274">
            <w:pPr>
              <w:jc w:val="center"/>
              <w:rPr>
                <w:color w:val="000000"/>
                <w:sz w:val="24"/>
                <w:szCs w:val="24"/>
              </w:rPr>
            </w:pPr>
            <w:r>
              <w:t>Fréquent</w:t>
            </w:r>
            <w:r>
              <w:rPr>
                <w:vertAlign w:val="superscript"/>
              </w:rPr>
              <w:t>(2)</w:t>
            </w:r>
            <w:r>
              <w:t xml:space="preserve"> </w:t>
            </w:r>
          </w:p>
        </w:tc>
      </w:tr>
      <w:tr w:rsidR="00B35BB0" w:rsidTr="00727274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BB0" w:rsidRDefault="00B35BB0" w:rsidP="00727274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</w:rPr>
              <w:t>Affections du système nerveux</w:t>
            </w:r>
            <w:r>
              <w:t xml:space="preserve"> </w:t>
            </w:r>
          </w:p>
        </w:tc>
      </w:tr>
      <w:tr w:rsidR="00B35BB0" w:rsidTr="007272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BB0" w:rsidRDefault="00B35BB0" w:rsidP="00727274">
            <w:pPr>
              <w:rPr>
                <w:color w:val="000000"/>
                <w:sz w:val="24"/>
                <w:szCs w:val="24"/>
              </w:rPr>
            </w:pPr>
            <w:r>
              <w:t>- Céphalées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5BB0" w:rsidRDefault="00B35BB0" w:rsidP="00727274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Fréquent </w:t>
            </w:r>
          </w:p>
        </w:tc>
      </w:tr>
      <w:tr w:rsidR="00B35BB0" w:rsidTr="00727274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BB0" w:rsidRDefault="00B35BB0" w:rsidP="00727274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</w:rPr>
              <w:t>Affections gastro-intestinales</w:t>
            </w:r>
            <w:r>
              <w:t xml:space="preserve"> </w:t>
            </w:r>
          </w:p>
        </w:tc>
      </w:tr>
      <w:tr w:rsidR="00B35BB0" w:rsidTr="007272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BB0" w:rsidRDefault="00B35BB0" w:rsidP="00727274">
            <w:pPr>
              <w:rPr>
                <w:color w:val="000000"/>
                <w:sz w:val="24"/>
                <w:szCs w:val="24"/>
              </w:rPr>
            </w:pPr>
            <w:r>
              <w:t>- Vomissements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5BB0" w:rsidRDefault="00B35BB0" w:rsidP="00727274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Fréquent </w:t>
            </w:r>
          </w:p>
        </w:tc>
      </w:tr>
    </w:tbl>
    <w:p w:rsidR="00B35BB0" w:rsidRDefault="00B35BB0" w:rsidP="00B35BB0">
      <w:pPr>
        <w:ind w:left="720"/>
      </w:pPr>
      <w:r>
        <w:rPr>
          <w:vertAlign w:val="superscript"/>
        </w:rPr>
        <w:t>(1)</w:t>
      </w:r>
      <w:r>
        <w:t xml:space="preserve">  </w:t>
      </w:r>
      <w:r>
        <w:rPr>
          <w:sz w:val="20"/>
          <w:szCs w:val="20"/>
        </w:rPr>
        <w:t xml:space="preserve">Inclut la </w:t>
      </w:r>
      <w:proofErr w:type="spellStart"/>
      <w:r>
        <w:rPr>
          <w:sz w:val="20"/>
          <w:szCs w:val="20"/>
        </w:rPr>
        <w:t>saxagliptine</w:t>
      </w:r>
      <w:proofErr w:type="spellEnd"/>
      <w:r>
        <w:rPr>
          <w:sz w:val="20"/>
          <w:szCs w:val="20"/>
        </w:rPr>
        <w:t xml:space="preserve"> en ajout à la </w:t>
      </w:r>
      <w:proofErr w:type="spellStart"/>
      <w:r>
        <w:rPr>
          <w:sz w:val="20"/>
          <w:szCs w:val="20"/>
        </w:rPr>
        <w:t>metformine</w:t>
      </w:r>
      <w:proofErr w:type="spellEnd"/>
      <w:r>
        <w:rPr>
          <w:sz w:val="20"/>
          <w:szCs w:val="20"/>
        </w:rPr>
        <w:t xml:space="preserve"> et en association initiale à la </w:t>
      </w:r>
      <w:proofErr w:type="spellStart"/>
      <w:r>
        <w:rPr>
          <w:sz w:val="20"/>
          <w:szCs w:val="20"/>
        </w:rPr>
        <w:t>metformine</w:t>
      </w:r>
      <w:proofErr w:type="spellEnd"/>
      <w:r>
        <w:rPr>
          <w:sz w:val="20"/>
          <w:szCs w:val="20"/>
        </w:rPr>
        <w:t>.</w:t>
      </w:r>
    </w:p>
    <w:p w:rsidR="00B35BB0" w:rsidRDefault="00B35BB0" w:rsidP="00B35BB0">
      <w:pPr>
        <w:ind w:left="720"/>
      </w:pPr>
      <w:r>
        <w:rPr>
          <w:vertAlign w:val="superscript"/>
        </w:rPr>
        <w:t>(2)</w:t>
      </w:r>
      <w:r>
        <w:t xml:space="preserve">  </w:t>
      </w:r>
      <w:r>
        <w:rPr>
          <w:sz w:val="20"/>
          <w:szCs w:val="20"/>
        </w:rPr>
        <w:t>Uniquement en association initiale.</w:t>
      </w:r>
    </w:p>
    <w:p w:rsidR="00B35BB0" w:rsidRDefault="00B35BB0" w:rsidP="00B35BB0">
      <w:pPr>
        <w:ind w:left="720"/>
      </w:pPr>
      <w:r>
        <w:rPr>
          <w:i/>
          <w:iCs/>
        </w:rPr>
        <w:t xml:space="preserve">Expérience </w:t>
      </w:r>
      <w:proofErr w:type="spellStart"/>
      <w:r>
        <w:rPr>
          <w:i/>
          <w:iCs/>
        </w:rPr>
        <w:t>postcommercialisation</w:t>
      </w:r>
      <w:proofErr w:type="spellEnd"/>
      <w:r>
        <w:rPr>
          <w:i/>
          <w:iCs/>
        </w:rPr>
        <w:t xml:space="preserve"> issue des essais cliniques et des cas spontanés :</w:t>
      </w:r>
      <w:r>
        <w:t xml:space="preserve"> </w:t>
      </w:r>
    </w:p>
    <w:p w:rsidR="00B35BB0" w:rsidRDefault="00B35BB0" w:rsidP="00B35BB0">
      <w:pPr>
        <w:ind w:left="720"/>
      </w:pPr>
      <w:r>
        <w:t xml:space="preserve">Le tableau 2 présente des effets indésirables additionnels qui ont été rapportés en </w:t>
      </w:r>
      <w:proofErr w:type="spellStart"/>
      <w:r>
        <w:t>postcommercialisation</w:t>
      </w:r>
      <w:proofErr w:type="spellEnd"/>
      <w:r>
        <w:t xml:space="preserve"> avec la </w:t>
      </w:r>
      <w:proofErr w:type="spellStart"/>
      <w:r>
        <w:t>saxagliptine</w:t>
      </w:r>
      <w:proofErr w:type="spellEnd"/>
      <w:r>
        <w:t xml:space="preserve">. Les fréquences sont basées sur l'expérience issue des essais cliniques. </w:t>
      </w:r>
    </w:p>
    <w:tbl>
      <w:tblPr>
        <w:tblW w:w="4750" w:type="pct"/>
        <w:tblCellSpacing w:w="7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401"/>
        <w:gridCol w:w="2301"/>
      </w:tblGrid>
      <w:tr w:rsidR="00B35BB0" w:rsidTr="00727274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5BB0" w:rsidRDefault="00B35BB0" w:rsidP="00727274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Tableau 2 : Fréquence des effets indésirables additionnels par classe de système d'organes </w:t>
            </w:r>
          </w:p>
        </w:tc>
      </w:tr>
      <w:tr w:rsidR="00B35BB0" w:rsidTr="007272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BB0" w:rsidRDefault="00B35BB0" w:rsidP="007272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</w:rPr>
              <w:t>Classe de systèmes d'organes</w:t>
            </w:r>
            <w:r>
              <w:br/>
              <w:t xml:space="preserve">Effet indésirable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BB0" w:rsidRDefault="00B35BB0" w:rsidP="00727274">
            <w:pPr>
              <w:jc w:val="center"/>
              <w:rPr>
                <w:color w:val="000000"/>
                <w:sz w:val="24"/>
                <w:szCs w:val="24"/>
              </w:rPr>
            </w:pPr>
            <w:r>
              <w:t>Fréquence des effets indésirables</w:t>
            </w:r>
            <w:r>
              <w:rPr>
                <w:vertAlign w:val="superscript"/>
              </w:rPr>
              <w:t>(1)</w:t>
            </w:r>
            <w:r>
              <w:t xml:space="preserve"> </w:t>
            </w:r>
          </w:p>
        </w:tc>
      </w:tr>
      <w:tr w:rsidR="00B35BB0" w:rsidTr="00727274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BB0" w:rsidRDefault="00B35BB0" w:rsidP="00727274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</w:rPr>
              <w:t>Affections gastro-intestinales</w:t>
            </w:r>
            <w:r>
              <w:t xml:space="preserve"> </w:t>
            </w:r>
          </w:p>
        </w:tc>
      </w:tr>
      <w:tr w:rsidR="00B35BB0" w:rsidTr="007272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BB0" w:rsidRDefault="00B35BB0" w:rsidP="00727274">
            <w:pPr>
              <w:rPr>
                <w:color w:val="000000"/>
                <w:sz w:val="24"/>
                <w:szCs w:val="24"/>
              </w:rPr>
            </w:pPr>
            <w:r>
              <w:t>- Nausée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5BB0" w:rsidRDefault="00B35BB0" w:rsidP="00727274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Fréquent </w:t>
            </w:r>
          </w:p>
        </w:tc>
      </w:tr>
      <w:tr w:rsidR="00B35BB0" w:rsidTr="007272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BB0" w:rsidRDefault="00B35BB0" w:rsidP="00727274">
            <w:pPr>
              <w:rPr>
                <w:color w:val="000000"/>
                <w:sz w:val="24"/>
                <w:szCs w:val="24"/>
              </w:rPr>
            </w:pPr>
            <w:r>
              <w:t>- Pancréatite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5BB0" w:rsidRDefault="00B35BB0" w:rsidP="00727274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Peu fréquent </w:t>
            </w:r>
          </w:p>
        </w:tc>
      </w:tr>
      <w:tr w:rsidR="00B35BB0" w:rsidTr="00727274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BB0" w:rsidRDefault="00B35BB0" w:rsidP="00727274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</w:rPr>
              <w:t>Troubles du système immunitaire</w:t>
            </w:r>
            <w:r>
              <w:t xml:space="preserve"> </w:t>
            </w:r>
          </w:p>
        </w:tc>
      </w:tr>
      <w:tr w:rsidR="00B35BB0" w:rsidTr="007272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BB0" w:rsidRDefault="00B35BB0" w:rsidP="00727274">
            <w:pPr>
              <w:rPr>
                <w:color w:val="000000"/>
                <w:sz w:val="24"/>
                <w:szCs w:val="24"/>
              </w:rPr>
            </w:pPr>
            <w:r>
              <w:t>- Réactions d'hypersensibilité</w:t>
            </w:r>
            <w:r>
              <w:rPr>
                <w:vertAlign w:val="superscript"/>
              </w:rPr>
              <w:t>(2)</w:t>
            </w:r>
            <w:r>
              <w:t xml:space="preserve"> (</w:t>
            </w:r>
            <w:proofErr w:type="spellStart"/>
            <w:r>
              <w:t>cf</w:t>
            </w:r>
            <w:proofErr w:type="spellEnd"/>
            <w:r>
              <w:t> Contre-indications, Mises en garde et Précautions d'emploi)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5BB0" w:rsidRDefault="00B35BB0" w:rsidP="00727274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Peu fréquent </w:t>
            </w:r>
          </w:p>
        </w:tc>
      </w:tr>
      <w:tr w:rsidR="00B35BB0" w:rsidTr="007272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BB0" w:rsidRDefault="00B35BB0" w:rsidP="00727274">
            <w:pPr>
              <w:rPr>
                <w:color w:val="000000"/>
                <w:sz w:val="24"/>
                <w:szCs w:val="24"/>
              </w:rPr>
            </w:pPr>
            <w:r>
              <w:t>- Réactions anaphylactiques incluant choc anaphylactique (</w:t>
            </w:r>
            <w:proofErr w:type="spellStart"/>
            <w:r>
              <w:t>cf</w:t>
            </w:r>
            <w:proofErr w:type="spellEnd"/>
            <w:r>
              <w:t> Contre-indications, Mises en garde et Précautions d'emploi)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5BB0" w:rsidRDefault="00B35BB0" w:rsidP="00727274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Rare </w:t>
            </w:r>
          </w:p>
        </w:tc>
      </w:tr>
      <w:tr w:rsidR="00B35BB0" w:rsidTr="00727274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BB0" w:rsidRDefault="00B35BB0" w:rsidP="00727274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</w:rPr>
              <w:t>Affections de la peau et du tissu sous-cutané</w:t>
            </w:r>
            <w:r>
              <w:t xml:space="preserve"> </w:t>
            </w:r>
          </w:p>
        </w:tc>
      </w:tr>
      <w:tr w:rsidR="00B35BB0" w:rsidTr="007272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BB0" w:rsidRDefault="00B35BB0" w:rsidP="00727274">
            <w:pPr>
              <w:rPr>
                <w:color w:val="000000"/>
                <w:sz w:val="24"/>
                <w:szCs w:val="24"/>
              </w:rPr>
            </w:pPr>
            <w:r>
              <w:t>- </w:t>
            </w:r>
            <w:proofErr w:type="spellStart"/>
            <w:r>
              <w:t>Angioedème</w:t>
            </w:r>
            <w:proofErr w:type="spellEnd"/>
            <w:r>
              <w:t xml:space="preserve"> (</w:t>
            </w:r>
            <w:proofErr w:type="spellStart"/>
            <w:r>
              <w:t>cf</w:t>
            </w:r>
            <w:proofErr w:type="spellEnd"/>
            <w:r>
              <w:t> Contre-indications, Mises en garde et Précautions d'emploi)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5BB0" w:rsidRDefault="00B35BB0" w:rsidP="00727274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Rare </w:t>
            </w:r>
          </w:p>
        </w:tc>
      </w:tr>
      <w:tr w:rsidR="00B35BB0" w:rsidTr="007272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BB0" w:rsidRDefault="00B35BB0" w:rsidP="00727274">
            <w:pPr>
              <w:rPr>
                <w:color w:val="000000"/>
                <w:sz w:val="24"/>
                <w:szCs w:val="24"/>
              </w:rPr>
            </w:pPr>
            <w:r>
              <w:lastRenderedPageBreak/>
              <w:t>- Dermatite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5BB0" w:rsidRDefault="00B35BB0" w:rsidP="00727274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Peu fréquent </w:t>
            </w:r>
          </w:p>
        </w:tc>
      </w:tr>
      <w:tr w:rsidR="00B35BB0" w:rsidTr="007272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BB0" w:rsidRDefault="00B35BB0" w:rsidP="00727274">
            <w:pPr>
              <w:rPr>
                <w:color w:val="000000"/>
                <w:sz w:val="24"/>
                <w:szCs w:val="24"/>
              </w:rPr>
            </w:pPr>
            <w:r>
              <w:t>- Prurit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5BB0" w:rsidRDefault="00B35BB0" w:rsidP="00727274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Peu fréquent </w:t>
            </w:r>
          </w:p>
        </w:tc>
      </w:tr>
      <w:tr w:rsidR="00B35BB0" w:rsidTr="007272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BB0" w:rsidRDefault="00B35BB0" w:rsidP="00727274">
            <w:pPr>
              <w:rPr>
                <w:color w:val="000000"/>
                <w:sz w:val="24"/>
                <w:szCs w:val="24"/>
              </w:rPr>
            </w:pPr>
            <w:r>
              <w:t>- Rash</w:t>
            </w:r>
            <w:r>
              <w:rPr>
                <w:vertAlign w:val="superscript"/>
              </w:rPr>
              <w:t>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5BB0" w:rsidRDefault="00B35BB0" w:rsidP="00727274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Fréquent </w:t>
            </w:r>
          </w:p>
        </w:tc>
      </w:tr>
      <w:tr w:rsidR="00B35BB0" w:rsidTr="007272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BB0" w:rsidRDefault="00B35BB0" w:rsidP="00727274">
            <w:pPr>
              <w:rPr>
                <w:color w:val="000000"/>
                <w:sz w:val="24"/>
                <w:szCs w:val="24"/>
              </w:rPr>
            </w:pPr>
            <w:r>
              <w:t>- Urticaire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5BB0" w:rsidRDefault="00B35BB0" w:rsidP="00727274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Peu fréquent </w:t>
            </w:r>
          </w:p>
        </w:tc>
      </w:tr>
    </w:tbl>
    <w:p w:rsidR="00B35BB0" w:rsidRDefault="00B35BB0" w:rsidP="00B35BB0">
      <w:pPr>
        <w:ind w:left="720"/>
      </w:pPr>
      <w:r>
        <w:rPr>
          <w:vertAlign w:val="superscript"/>
        </w:rPr>
        <w:t>(1)</w:t>
      </w:r>
      <w:r>
        <w:t xml:space="preserve">  </w:t>
      </w:r>
      <w:r>
        <w:rPr>
          <w:sz w:val="20"/>
          <w:szCs w:val="20"/>
        </w:rPr>
        <w:t xml:space="preserve">Les fréquences estimées reposent sur les analyses </w:t>
      </w:r>
      <w:proofErr w:type="spellStart"/>
      <w:r>
        <w:rPr>
          <w:sz w:val="20"/>
          <w:szCs w:val="20"/>
        </w:rPr>
        <w:t>poolées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saxagliptine</w:t>
      </w:r>
      <w:proofErr w:type="spellEnd"/>
      <w:r>
        <w:rPr>
          <w:sz w:val="20"/>
          <w:szCs w:val="20"/>
        </w:rPr>
        <w:t xml:space="preserve"> en monothérapie, en ajout à la </w:t>
      </w:r>
      <w:proofErr w:type="spellStart"/>
      <w:r>
        <w:rPr>
          <w:sz w:val="20"/>
          <w:szCs w:val="20"/>
        </w:rPr>
        <w:t>metformine</w:t>
      </w:r>
      <w:proofErr w:type="spellEnd"/>
      <w:r>
        <w:rPr>
          <w:sz w:val="20"/>
          <w:szCs w:val="20"/>
        </w:rPr>
        <w:t xml:space="preserve"> et association initiale avec la </w:t>
      </w:r>
      <w:proofErr w:type="spellStart"/>
      <w:r>
        <w:rPr>
          <w:sz w:val="20"/>
          <w:szCs w:val="20"/>
        </w:rPr>
        <w:t>metformine</w:t>
      </w:r>
      <w:proofErr w:type="spellEnd"/>
      <w:r>
        <w:rPr>
          <w:sz w:val="20"/>
          <w:szCs w:val="20"/>
        </w:rPr>
        <w:t xml:space="preserve">, en ajout à un sulfamide hypoglycémiant et en ajout aux </w:t>
      </w:r>
      <w:proofErr w:type="spellStart"/>
      <w:r>
        <w:rPr>
          <w:sz w:val="20"/>
          <w:szCs w:val="20"/>
        </w:rPr>
        <w:t>thiazolidinediones</w:t>
      </w:r>
      <w:proofErr w:type="spellEnd"/>
      <w:r>
        <w:rPr>
          <w:sz w:val="20"/>
          <w:szCs w:val="20"/>
        </w:rPr>
        <w:t xml:space="preserve"> dans les essais cliniques.</w:t>
      </w:r>
    </w:p>
    <w:p w:rsidR="00B35BB0" w:rsidRDefault="00B35BB0" w:rsidP="00B35BB0">
      <w:pPr>
        <w:ind w:left="720"/>
      </w:pPr>
      <w:r>
        <w:rPr>
          <w:vertAlign w:val="superscript"/>
        </w:rPr>
        <w:t>(2)</w:t>
      </w:r>
      <w:r>
        <w:t xml:space="preserve">  </w:t>
      </w:r>
      <w:r>
        <w:rPr>
          <w:sz w:val="20"/>
          <w:szCs w:val="20"/>
        </w:rPr>
        <w:t>Ces réactions ont été également identifiées dans les essais cliniques avant autorisation mais ne correspondaient pas au critère du tableau 1.</w:t>
      </w:r>
    </w:p>
    <w:p w:rsidR="00B35BB0" w:rsidRDefault="00B35BB0" w:rsidP="00B35BB0">
      <w:pPr>
        <w:ind w:left="720"/>
      </w:pPr>
      <w:r>
        <w:rPr>
          <w:i/>
          <w:iCs/>
        </w:rPr>
        <w:t>Description d'effets indésirables sélectionnés :</w:t>
      </w:r>
      <w:r>
        <w:t xml:space="preserve"> </w:t>
      </w:r>
    </w:p>
    <w:p w:rsidR="00B35BB0" w:rsidRDefault="00B35BB0" w:rsidP="00B35BB0">
      <w:pPr>
        <w:ind w:left="720"/>
      </w:pPr>
      <w:r>
        <w:t xml:space="preserve">Les effets indésirables, considérés par l'investigateur comme au moins possiblement liés au médicament et rapportés chez au moins deux patients de plus traités avec la </w:t>
      </w:r>
      <w:proofErr w:type="spellStart"/>
      <w:r>
        <w:t>saxagliptine</w:t>
      </w:r>
      <w:proofErr w:type="spellEnd"/>
      <w:r>
        <w:t xml:space="preserve"> 5 mg par rapport au témoin, sont décrits ci-dessous. </w:t>
      </w:r>
    </w:p>
    <w:p w:rsidR="00B35BB0" w:rsidRDefault="00B35BB0" w:rsidP="00B35BB0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</w:pPr>
      <w:r>
        <w:t>En monothérapie : sensation vertigineuse (fréquent) et fatigue (fréquent).</w:t>
      </w:r>
    </w:p>
    <w:p w:rsidR="00B35BB0" w:rsidRDefault="00B35BB0" w:rsidP="00B35BB0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</w:pPr>
      <w:r>
        <w:t xml:space="preserve">En association à la </w:t>
      </w:r>
      <w:proofErr w:type="spellStart"/>
      <w:r>
        <w:t>metformine</w:t>
      </w:r>
      <w:proofErr w:type="spellEnd"/>
      <w:r>
        <w:t xml:space="preserve"> : dyspepsie (fréquent) et myalgie (fréquent).</w:t>
      </w:r>
    </w:p>
    <w:p w:rsidR="00B35BB0" w:rsidRDefault="00B35BB0" w:rsidP="00B35BB0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</w:pPr>
      <w:r>
        <w:t xml:space="preserve">En association initiale à la </w:t>
      </w:r>
      <w:proofErr w:type="spellStart"/>
      <w:r>
        <w:t>metformine</w:t>
      </w:r>
      <w:proofErr w:type="spellEnd"/>
      <w:r>
        <w:t xml:space="preserve"> : gastrite (fréquent), arthralgie (peu fréquent), myalgie (peu fréquent) et dysfonction érectile (peu fréquent).</w:t>
      </w:r>
    </w:p>
    <w:p w:rsidR="00B35BB0" w:rsidRDefault="00B35BB0" w:rsidP="00B35BB0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</w:pPr>
      <w:r>
        <w:t xml:space="preserve">En association à la </w:t>
      </w:r>
      <w:proofErr w:type="spellStart"/>
      <w:r>
        <w:t>metformine</w:t>
      </w:r>
      <w:proofErr w:type="spellEnd"/>
      <w:r>
        <w:t xml:space="preserve"> et à un sulfamide hypoglycémiant : sensation vertigineuse (fréquent), fatigue (fréquent) et flatulence (fréquent).</w:t>
      </w:r>
    </w:p>
    <w:p w:rsidR="00B35BB0" w:rsidRDefault="00B35BB0" w:rsidP="00B35BB0">
      <w:pPr>
        <w:spacing w:after="0"/>
        <w:ind w:left="720"/>
      </w:pPr>
      <w:r>
        <w:rPr>
          <w:i/>
          <w:iCs/>
        </w:rPr>
        <w:t>Hypoglycémies :</w:t>
      </w:r>
      <w:r>
        <w:t xml:space="preserve"> </w:t>
      </w:r>
    </w:p>
    <w:p w:rsidR="00B35BB0" w:rsidRDefault="00B35BB0" w:rsidP="00B35BB0">
      <w:pPr>
        <w:ind w:left="720"/>
      </w:pPr>
      <w:r>
        <w:t xml:space="preserve">Tous les cas d'hypoglycémie rapportés ont été considérés comme des événements indésirables ; il n'a pas été nécessaire de réaliser un dosage de la glycémie. L'incidence des hypoglycémies rapportées avec la </w:t>
      </w:r>
      <w:proofErr w:type="spellStart"/>
      <w:r>
        <w:t>saxagliptine</w:t>
      </w:r>
      <w:proofErr w:type="spellEnd"/>
      <w:r>
        <w:t xml:space="preserve"> 5 mg versus placebo en ajout à la </w:t>
      </w:r>
      <w:proofErr w:type="spellStart"/>
      <w:r>
        <w:t>metformine</w:t>
      </w:r>
      <w:proofErr w:type="spellEnd"/>
      <w:r>
        <w:t xml:space="preserve"> a été de 5,8 % versus 5 %. L'incidence des hypoglycémies rapportées a été de 3,4 % chez les patients « naïfs de traitement » recevant la </w:t>
      </w:r>
      <w:proofErr w:type="spellStart"/>
      <w:r>
        <w:t>saxagliptine</w:t>
      </w:r>
      <w:proofErr w:type="spellEnd"/>
      <w:r>
        <w:t xml:space="preserve"> 5 mg plus </w:t>
      </w:r>
      <w:proofErr w:type="spellStart"/>
      <w:r>
        <w:t>metformine</w:t>
      </w:r>
      <w:proofErr w:type="spellEnd"/>
      <w:r>
        <w:t xml:space="preserve"> et de 4,0 % chez les patients recevant la </w:t>
      </w:r>
      <w:proofErr w:type="spellStart"/>
      <w:r>
        <w:t>metformine</w:t>
      </w:r>
      <w:proofErr w:type="spellEnd"/>
      <w:r>
        <w:t xml:space="preserve"> seule. Lorsqu'utilisés en association à l'insuline (avec ou sans </w:t>
      </w:r>
      <w:proofErr w:type="spellStart"/>
      <w:r>
        <w:t>metformine</w:t>
      </w:r>
      <w:proofErr w:type="spellEnd"/>
      <w:r>
        <w:t xml:space="preserve">), l'incidence globale des cas d'hypoglycémie rapportés était de 18,4 % pour la </w:t>
      </w:r>
      <w:proofErr w:type="spellStart"/>
      <w:r>
        <w:t>saxagliptine</w:t>
      </w:r>
      <w:proofErr w:type="spellEnd"/>
      <w:r>
        <w:t xml:space="preserve"> 5 mg et de 19,9 % pour le placebo. </w:t>
      </w:r>
    </w:p>
    <w:p w:rsidR="00B35BB0" w:rsidRDefault="00B35BB0" w:rsidP="00B35BB0">
      <w:pPr>
        <w:ind w:left="720"/>
      </w:pPr>
      <w:r>
        <w:t xml:space="preserve">Lorsqu'utilisé en association à la </w:t>
      </w:r>
      <w:proofErr w:type="spellStart"/>
      <w:r>
        <w:t>metformine</w:t>
      </w:r>
      <w:proofErr w:type="spellEnd"/>
      <w:r>
        <w:t xml:space="preserve"> et à un sulfamide hypoglycémiant, l'incidence globale des cas d'hypoglycémie rapportés était de 10,2 % pour la </w:t>
      </w:r>
      <w:proofErr w:type="spellStart"/>
      <w:r>
        <w:t>saxagliptine</w:t>
      </w:r>
      <w:proofErr w:type="spellEnd"/>
      <w:r>
        <w:t xml:space="preserve"> 5 mg et de 6,3 % pour le placebo. </w:t>
      </w:r>
    </w:p>
    <w:p w:rsidR="00B35BB0" w:rsidRDefault="00B35BB0" w:rsidP="00B35BB0">
      <w:pPr>
        <w:ind w:left="720"/>
      </w:pPr>
      <w:r>
        <w:rPr>
          <w:i/>
          <w:iCs/>
        </w:rPr>
        <w:t>Investigations :</w:t>
      </w:r>
      <w:r>
        <w:t xml:space="preserve"> </w:t>
      </w:r>
    </w:p>
    <w:p w:rsidR="00B35BB0" w:rsidRDefault="00B35BB0" w:rsidP="00B35BB0">
      <w:pPr>
        <w:ind w:left="720"/>
      </w:pPr>
      <w:r>
        <w:t xml:space="preserve">Dans l'ensemble des études cliniques, l'incidence des EI biologiques a été similaire chez les patients traités par la </w:t>
      </w:r>
      <w:proofErr w:type="spellStart"/>
      <w:r>
        <w:t>saxagliptine</w:t>
      </w:r>
      <w:proofErr w:type="spellEnd"/>
      <w:r>
        <w:t xml:space="preserve"> 5 mg et chez les patients traités par placebo. Une légère diminution du nombre absolu de lymphocytes a été observée. Pour un nombre absolu moyen de lymphocytes avant traitement d'environ 2200 cellules/µl, une diminution </w:t>
      </w:r>
      <w:r>
        <w:lastRenderedPageBreak/>
        <w:t xml:space="preserve">moyenne d'environ 100 cellules/µl a été observée comparativement au placebo dans une analyse </w:t>
      </w:r>
      <w:proofErr w:type="spellStart"/>
      <w:r>
        <w:t>poolée</w:t>
      </w:r>
      <w:proofErr w:type="spellEnd"/>
      <w:r>
        <w:t xml:space="preserve"> contrôlée versus placebo. Le nombre absolu moyen de lymphocytes est resté stable lors d'une administration quotidienne allant jusqu'à 102 semaines. Les diminutions du nombre de lymphocytes n'ont pas été associées à des effets indésirables cliniquement significatifs. La significativité clinique de cette diminution du nombre de lymphocytes comparativement au placebo n'est pas connue. </w:t>
      </w:r>
    </w:p>
    <w:p w:rsidR="00B35BB0" w:rsidRDefault="00B35BB0" w:rsidP="00B35BB0">
      <w:proofErr w:type="spellStart"/>
      <w:r>
        <w:rPr>
          <w:b/>
          <w:bCs/>
          <w:i/>
          <w:iCs/>
        </w:rPr>
        <w:t>Metformine</w:t>
      </w:r>
      <w:proofErr w:type="spellEnd"/>
      <w:r>
        <w:rPr>
          <w:b/>
          <w:bCs/>
          <w:i/>
          <w:iCs/>
        </w:rPr>
        <w:t> :</w:t>
      </w:r>
      <w:r>
        <w:t xml:space="preserve"> </w:t>
      </w:r>
    </w:p>
    <w:p w:rsidR="00B35BB0" w:rsidRDefault="00B35BB0" w:rsidP="00B35BB0">
      <w:pPr>
        <w:ind w:left="720"/>
      </w:pPr>
      <w:r>
        <w:rPr>
          <w:i/>
          <w:iCs/>
        </w:rPr>
        <w:t xml:space="preserve">Données des études cliniques et données de </w:t>
      </w:r>
      <w:proofErr w:type="spellStart"/>
      <w:r>
        <w:rPr>
          <w:i/>
          <w:iCs/>
        </w:rPr>
        <w:t>postcommercialisation</w:t>
      </w:r>
      <w:proofErr w:type="spellEnd"/>
      <w:r>
        <w:rPr>
          <w:i/>
          <w:iCs/>
        </w:rPr>
        <w:t> :</w:t>
      </w:r>
      <w:r>
        <w:t xml:space="preserve"> </w:t>
      </w:r>
    </w:p>
    <w:p w:rsidR="00B35BB0" w:rsidRDefault="00B35BB0" w:rsidP="00B35BB0">
      <w:pPr>
        <w:ind w:left="720"/>
      </w:pPr>
      <w:r>
        <w:t xml:space="preserve">Le tableau 3 présente les effets indésirables par classe de systèmes d'organes et fréquence. Les catégories de fréquence sont basées sur les informations figurant dans le résumé des caractéristiques du produit de la </w:t>
      </w:r>
      <w:proofErr w:type="spellStart"/>
      <w:r>
        <w:t>metformine</w:t>
      </w:r>
      <w:proofErr w:type="spellEnd"/>
      <w:r>
        <w:t xml:space="preserve"> disponible dans l'Union européenne. </w:t>
      </w:r>
    </w:p>
    <w:tbl>
      <w:tblPr>
        <w:tblW w:w="4750" w:type="pct"/>
        <w:tblCellSpacing w:w="7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419"/>
        <w:gridCol w:w="2283"/>
      </w:tblGrid>
      <w:tr w:rsidR="00B35BB0" w:rsidTr="00727274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5BB0" w:rsidRDefault="00B35BB0" w:rsidP="00727274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Tableau 3 : Fréquence des effets indésirables de la </w:t>
            </w:r>
            <w:proofErr w:type="spellStart"/>
            <w:r>
              <w:t>metformine</w:t>
            </w:r>
            <w:proofErr w:type="spellEnd"/>
            <w:r>
              <w:t xml:space="preserve"> à partir des données des études cliniques et de </w:t>
            </w:r>
            <w:proofErr w:type="spellStart"/>
            <w:r>
              <w:t>postcommercialisation</w:t>
            </w:r>
            <w:proofErr w:type="spellEnd"/>
            <w:r>
              <w:t xml:space="preserve"> </w:t>
            </w:r>
          </w:p>
        </w:tc>
      </w:tr>
      <w:tr w:rsidR="00B35BB0" w:rsidTr="007272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BB0" w:rsidRDefault="00B35BB0" w:rsidP="007272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</w:rPr>
              <w:t>Classe de systèmes d'organes</w:t>
            </w:r>
            <w:r>
              <w:br/>
              <w:t xml:space="preserve">Effet indésirable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BB0" w:rsidRDefault="00B35BB0" w:rsidP="00727274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Fréquence </w:t>
            </w:r>
          </w:p>
        </w:tc>
      </w:tr>
      <w:tr w:rsidR="00B35BB0" w:rsidTr="00727274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BB0" w:rsidRDefault="00B35BB0" w:rsidP="00727274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</w:rPr>
              <w:t>Troubles du métabolisme et de la nutrition</w:t>
            </w:r>
            <w:r>
              <w:t xml:space="preserve"> </w:t>
            </w:r>
          </w:p>
        </w:tc>
      </w:tr>
      <w:tr w:rsidR="00B35BB0" w:rsidTr="007272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BB0" w:rsidRDefault="00B35BB0" w:rsidP="00727274">
            <w:pPr>
              <w:rPr>
                <w:color w:val="000000"/>
                <w:sz w:val="24"/>
                <w:szCs w:val="24"/>
              </w:rPr>
            </w:pPr>
            <w:r>
              <w:t>- Acidose lactique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5BB0" w:rsidRDefault="00B35BB0" w:rsidP="00727274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Très rare </w:t>
            </w:r>
          </w:p>
        </w:tc>
      </w:tr>
      <w:tr w:rsidR="00B35BB0" w:rsidTr="007272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BB0" w:rsidRDefault="00B35BB0" w:rsidP="00727274">
            <w:pPr>
              <w:rPr>
                <w:color w:val="000000"/>
                <w:sz w:val="24"/>
                <w:szCs w:val="24"/>
              </w:rPr>
            </w:pPr>
            <w:r>
              <w:t>- Carence en vitamine B</w:t>
            </w:r>
            <w:r>
              <w:rPr>
                <w:sz w:val="20"/>
                <w:szCs w:val="20"/>
              </w:rPr>
              <w:t>12</w:t>
            </w:r>
            <w:r>
              <w:rPr>
                <w:vertAlign w:val="superscript"/>
              </w:rPr>
              <w:t>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5BB0" w:rsidRDefault="00B35BB0" w:rsidP="00727274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Très rare </w:t>
            </w:r>
          </w:p>
        </w:tc>
      </w:tr>
      <w:tr w:rsidR="00B35BB0" w:rsidTr="00727274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BB0" w:rsidRDefault="00B35BB0" w:rsidP="00727274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</w:rPr>
              <w:t>Affections du système nerveux</w:t>
            </w:r>
            <w:r>
              <w:t xml:space="preserve"> </w:t>
            </w:r>
          </w:p>
        </w:tc>
      </w:tr>
      <w:tr w:rsidR="00B35BB0" w:rsidTr="007272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BB0" w:rsidRDefault="00B35BB0" w:rsidP="00727274">
            <w:pPr>
              <w:rPr>
                <w:color w:val="000000"/>
                <w:sz w:val="24"/>
                <w:szCs w:val="24"/>
              </w:rPr>
            </w:pPr>
            <w:r>
              <w:t>- Goût métallique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5BB0" w:rsidRDefault="00B35BB0" w:rsidP="00727274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Fréquent </w:t>
            </w:r>
          </w:p>
        </w:tc>
      </w:tr>
      <w:tr w:rsidR="00B35BB0" w:rsidTr="00727274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BB0" w:rsidRDefault="00B35BB0" w:rsidP="00727274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</w:rPr>
              <w:t>Affections gastro-intestinales</w:t>
            </w:r>
            <w:r>
              <w:t xml:space="preserve"> </w:t>
            </w:r>
          </w:p>
        </w:tc>
      </w:tr>
      <w:tr w:rsidR="00B35BB0" w:rsidTr="007272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BB0" w:rsidRDefault="00B35BB0" w:rsidP="00727274">
            <w:pPr>
              <w:rPr>
                <w:color w:val="000000"/>
                <w:sz w:val="24"/>
                <w:szCs w:val="24"/>
              </w:rPr>
            </w:pPr>
            <w:r>
              <w:t>- Symptômes gastro-intestinaux</w:t>
            </w:r>
            <w:r>
              <w:rPr>
                <w:vertAlign w:val="superscript"/>
              </w:rPr>
              <w:t>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5BB0" w:rsidRDefault="00B35BB0" w:rsidP="00727274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Très fréquent </w:t>
            </w:r>
          </w:p>
        </w:tc>
      </w:tr>
      <w:tr w:rsidR="00B35BB0" w:rsidTr="00727274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BB0" w:rsidRDefault="00B35BB0" w:rsidP="00727274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</w:rPr>
              <w:t>Affections hépatobiliaires</w:t>
            </w:r>
            <w:r>
              <w:t xml:space="preserve"> </w:t>
            </w:r>
          </w:p>
        </w:tc>
      </w:tr>
      <w:tr w:rsidR="00B35BB0" w:rsidTr="007272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BB0" w:rsidRDefault="00B35BB0" w:rsidP="00727274">
            <w:pPr>
              <w:rPr>
                <w:color w:val="000000"/>
                <w:sz w:val="24"/>
                <w:szCs w:val="24"/>
              </w:rPr>
            </w:pPr>
            <w:r>
              <w:t>- Troubles de la fonction hépatique, hépatite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5BB0" w:rsidRDefault="00B35BB0" w:rsidP="00727274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Très rare </w:t>
            </w:r>
          </w:p>
        </w:tc>
      </w:tr>
      <w:tr w:rsidR="00B35BB0" w:rsidTr="00727274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BB0" w:rsidRDefault="00B35BB0" w:rsidP="00727274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</w:rPr>
              <w:t>Affections de la peau et du tissu sous-cutané</w:t>
            </w:r>
            <w:r>
              <w:t xml:space="preserve"> </w:t>
            </w:r>
          </w:p>
        </w:tc>
      </w:tr>
      <w:tr w:rsidR="00B35BB0" w:rsidTr="007272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BB0" w:rsidRDefault="00B35BB0" w:rsidP="00727274">
            <w:pPr>
              <w:rPr>
                <w:color w:val="000000"/>
                <w:sz w:val="24"/>
                <w:szCs w:val="24"/>
              </w:rPr>
            </w:pPr>
            <w:r>
              <w:t>- Urticaire, érythème, prurit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5BB0" w:rsidRDefault="00B35BB0" w:rsidP="00727274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Très rare </w:t>
            </w:r>
          </w:p>
        </w:tc>
      </w:tr>
    </w:tbl>
    <w:p w:rsidR="00B35BB0" w:rsidRDefault="00B35BB0" w:rsidP="00B35BB0">
      <w:pPr>
        <w:ind w:left="720"/>
      </w:pPr>
      <w:r>
        <w:rPr>
          <w:vertAlign w:val="superscript"/>
        </w:rPr>
        <w:t>(1)</w:t>
      </w:r>
      <w:r>
        <w:t xml:space="preserve">  </w:t>
      </w:r>
      <w:r>
        <w:rPr>
          <w:sz w:val="20"/>
          <w:szCs w:val="20"/>
        </w:rPr>
        <w:t xml:space="preserve">Le traitement à long terme par la </w:t>
      </w:r>
      <w:proofErr w:type="spellStart"/>
      <w:r>
        <w:rPr>
          <w:sz w:val="20"/>
          <w:szCs w:val="20"/>
        </w:rPr>
        <w:t>metformine</w:t>
      </w:r>
      <w:proofErr w:type="spellEnd"/>
      <w:r>
        <w:rPr>
          <w:sz w:val="20"/>
          <w:szCs w:val="20"/>
        </w:rPr>
        <w:t xml:space="preserve"> a été associé à une diminution de l'absorption de la vitamine B</w:t>
      </w:r>
      <w:r>
        <w:rPr>
          <w:sz w:val="15"/>
          <w:szCs w:val="15"/>
        </w:rPr>
        <w:t>12</w:t>
      </w:r>
      <w:r>
        <w:rPr>
          <w:sz w:val="20"/>
          <w:szCs w:val="20"/>
        </w:rPr>
        <w:t xml:space="preserve"> qui peut, dans de très rares cas, entraîner un déficit en vitamine B</w:t>
      </w:r>
      <w:r>
        <w:rPr>
          <w:sz w:val="15"/>
          <w:szCs w:val="15"/>
        </w:rPr>
        <w:t>12</w:t>
      </w:r>
      <w:r>
        <w:rPr>
          <w:sz w:val="20"/>
          <w:szCs w:val="20"/>
        </w:rPr>
        <w:t xml:space="preserve"> cliniquement significatif (anémie mégaloblastique par exemple).</w:t>
      </w:r>
    </w:p>
    <w:p w:rsidR="00B35BB0" w:rsidRDefault="00B35BB0" w:rsidP="00B35BB0">
      <w:pPr>
        <w:ind w:left="720"/>
      </w:pPr>
      <w:r>
        <w:rPr>
          <w:vertAlign w:val="superscript"/>
        </w:rPr>
        <w:lastRenderedPageBreak/>
        <w:t>(2)</w:t>
      </w:r>
      <w:r>
        <w:t xml:space="preserve">  </w:t>
      </w:r>
      <w:r>
        <w:rPr>
          <w:sz w:val="20"/>
          <w:szCs w:val="20"/>
        </w:rPr>
        <w:t>Les symptômes gastro-intestinaux tels que nausées, vomissements, diarrhées, douleurs abdominales et perte d'appétit apparaissent le plus souvent en début de traitement et régressent spontanément dans la plupart des cas.</w:t>
      </w:r>
    </w:p>
    <w:p w:rsidR="00DE34F8" w:rsidRDefault="00DE34F8"/>
    <w:sectPr w:rsidR="00DE34F8" w:rsidSect="00DE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E76FF"/>
    <w:multiLevelType w:val="multilevel"/>
    <w:tmpl w:val="C488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35BB0"/>
    <w:rsid w:val="00017B31"/>
    <w:rsid w:val="0006330F"/>
    <w:rsid w:val="0009769E"/>
    <w:rsid w:val="000C4178"/>
    <w:rsid w:val="00120A2B"/>
    <w:rsid w:val="00132903"/>
    <w:rsid w:val="001931B1"/>
    <w:rsid w:val="001A53D5"/>
    <w:rsid w:val="001B3E26"/>
    <w:rsid w:val="00282113"/>
    <w:rsid w:val="002D0F57"/>
    <w:rsid w:val="003164DC"/>
    <w:rsid w:val="0034030B"/>
    <w:rsid w:val="00370323"/>
    <w:rsid w:val="004276C2"/>
    <w:rsid w:val="004771A7"/>
    <w:rsid w:val="00521B28"/>
    <w:rsid w:val="005630AF"/>
    <w:rsid w:val="00587FAE"/>
    <w:rsid w:val="00610963"/>
    <w:rsid w:val="0062264F"/>
    <w:rsid w:val="00673C6F"/>
    <w:rsid w:val="006A4DC8"/>
    <w:rsid w:val="006D4445"/>
    <w:rsid w:val="006D6F8C"/>
    <w:rsid w:val="0070624C"/>
    <w:rsid w:val="007628F0"/>
    <w:rsid w:val="0078077B"/>
    <w:rsid w:val="007A24F8"/>
    <w:rsid w:val="007A5B77"/>
    <w:rsid w:val="007E4829"/>
    <w:rsid w:val="008075EC"/>
    <w:rsid w:val="00816CD7"/>
    <w:rsid w:val="00841542"/>
    <w:rsid w:val="008D2D19"/>
    <w:rsid w:val="008F30B2"/>
    <w:rsid w:val="00911C5C"/>
    <w:rsid w:val="00915F11"/>
    <w:rsid w:val="00945368"/>
    <w:rsid w:val="009D77C6"/>
    <w:rsid w:val="00A85F40"/>
    <w:rsid w:val="00A93A8E"/>
    <w:rsid w:val="00AB3D3B"/>
    <w:rsid w:val="00B35BB0"/>
    <w:rsid w:val="00B37108"/>
    <w:rsid w:val="00B53AA5"/>
    <w:rsid w:val="00BB2DA5"/>
    <w:rsid w:val="00C12BD3"/>
    <w:rsid w:val="00C22AEF"/>
    <w:rsid w:val="00C54779"/>
    <w:rsid w:val="00C60C3B"/>
    <w:rsid w:val="00C64100"/>
    <w:rsid w:val="00C75EA1"/>
    <w:rsid w:val="00D20E84"/>
    <w:rsid w:val="00D914B1"/>
    <w:rsid w:val="00DB398C"/>
    <w:rsid w:val="00DE34F8"/>
    <w:rsid w:val="00DF229A"/>
    <w:rsid w:val="00E651C1"/>
    <w:rsid w:val="00EB4024"/>
    <w:rsid w:val="00EE1C81"/>
    <w:rsid w:val="00F147E9"/>
    <w:rsid w:val="00F271B2"/>
    <w:rsid w:val="00F5756F"/>
    <w:rsid w:val="00F6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B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1205</Words>
  <Characters>6633</Characters>
  <Application>Microsoft Office Word</Application>
  <DocSecurity>0</DocSecurity>
  <Lines>55</Lines>
  <Paragraphs>15</Paragraphs>
  <ScaleCrop>false</ScaleCrop>
  <Company/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DUVAAL</dc:creator>
  <cp:keywords/>
  <dc:description/>
  <cp:lastModifiedBy>DUVAAL</cp:lastModifiedBy>
  <cp:revision>1</cp:revision>
  <dcterms:created xsi:type="dcterms:W3CDTF">2013-11-18T15:12:00Z</dcterms:created>
  <dcterms:modified xsi:type="dcterms:W3CDTF">2013-11-18T15:12:00Z</dcterms:modified>
</cp:coreProperties>
</file>